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F4" w:rsidRDefault="00B55428">
      <w:pPr>
        <w:rPr>
          <w:b/>
          <w:sz w:val="28"/>
        </w:rPr>
      </w:pPr>
      <w:r w:rsidRPr="00B55428">
        <w:rPr>
          <w:b/>
          <w:sz w:val="28"/>
        </w:rPr>
        <w:t>Topiclist: vragen voor de verkenning van wereldbeelden en mogelijkheden van betrokkenen in uitdagende situaties</w:t>
      </w:r>
    </w:p>
    <w:p w:rsidR="00FD446B" w:rsidRDefault="00FD446B">
      <w:pPr>
        <w:rPr>
          <w:b/>
          <w:sz w:val="28"/>
        </w:rPr>
      </w:pPr>
      <w:r>
        <w:rPr>
          <w:b/>
          <w:sz w:val="28"/>
        </w:rPr>
        <w:t>Het behandelen van een verzoek om handhaving op een perceel van het Waterschap, opslag van fietsen en plaatsing van een reclamebord</w:t>
      </w:r>
    </w:p>
    <w:p w:rsidR="00931510" w:rsidRPr="00B55428" w:rsidRDefault="00931510">
      <w:pPr>
        <w:rPr>
          <w:b/>
          <w:sz w:val="28"/>
        </w:rPr>
      </w:pPr>
    </w:p>
    <w:tbl>
      <w:tblPr>
        <w:tblStyle w:val="Tabelraster"/>
        <w:tblW w:w="0" w:type="auto"/>
        <w:tblLook w:val="04A0" w:firstRow="1" w:lastRow="0" w:firstColumn="1" w:lastColumn="0" w:noHBand="0" w:noVBand="1"/>
      </w:tblPr>
      <w:tblGrid>
        <w:gridCol w:w="1413"/>
        <w:gridCol w:w="6284"/>
        <w:gridCol w:w="6284"/>
        <w:gridCol w:w="6285"/>
      </w:tblGrid>
      <w:tr w:rsidR="00B55428" w:rsidTr="00931510">
        <w:tc>
          <w:tcPr>
            <w:tcW w:w="1413" w:type="dxa"/>
            <w:tcBorders>
              <w:top w:val="single" w:sz="4" w:space="0" w:color="FFFFFF" w:themeColor="background1"/>
              <w:bottom w:val="single" w:sz="4" w:space="0" w:color="FFFFFF" w:themeColor="background1"/>
              <w:right w:val="single" w:sz="4" w:space="0" w:color="FFFFFF" w:themeColor="background1"/>
            </w:tcBorders>
          </w:tcPr>
          <w:p w:rsidR="00B55428" w:rsidRDefault="00B55428">
            <w:pPr>
              <w:rPr>
                <w:b/>
              </w:rPr>
            </w:pP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speelt er</w:t>
            </w:r>
          </w:p>
        </w:tc>
        <w:tc>
          <w:tcPr>
            <w:tcW w:w="6284"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Wie zijn de betrokkenen</w:t>
            </w:r>
          </w:p>
        </w:tc>
        <w:tc>
          <w:tcPr>
            <w:tcW w:w="6285" w:type="dxa"/>
            <w:tcBorders>
              <w:top w:val="single" w:sz="4" w:space="0" w:color="FFFFFF" w:themeColor="background1"/>
              <w:left w:val="single" w:sz="4" w:space="0" w:color="FFFFFF" w:themeColor="background1"/>
              <w:right w:val="single" w:sz="4" w:space="0" w:color="FFFFFF" w:themeColor="background1"/>
            </w:tcBorders>
          </w:tcPr>
          <w:p w:rsidR="00B55428" w:rsidRDefault="00B55428" w:rsidP="00B55428">
            <w:pPr>
              <w:jc w:val="center"/>
              <w:rPr>
                <w:b/>
              </w:rPr>
            </w:pPr>
            <w:r>
              <w:rPr>
                <w:b/>
              </w:rPr>
              <w:t>Wat zijn de uitdagingen</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4472C4" w:themeColor="accent1"/>
              </w:rPr>
            </w:pPr>
            <w:r w:rsidRPr="00B55428">
              <w:rPr>
                <w:b/>
                <w:color w:val="4472C4" w:themeColor="accent1"/>
              </w:rPr>
              <w:t>Motivatie voor verandering</w:t>
            </w:r>
          </w:p>
        </w:tc>
        <w:tc>
          <w:tcPr>
            <w:tcW w:w="6284" w:type="dxa"/>
            <w:vAlign w:val="bottom"/>
          </w:tcPr>
          <w:p w:rsidR="00B55428" w:rsidRPr="00B55428" w:rsidRDefault="00B55428" w:rsidP="00B55428">
            <w:pPr>
              <w:rPr>
                <w:b/>
                <w:color w:val="4472C4" w:themeColor="accent1"/>
              </w:rPr>
            </w:pPr>
            <w:r w:rsidRPr="00B55428">
              <w:rPr>
                <w:b/>
                <w:color w:val="4472C4" w:themeColor="accent1"/>
              </w:rPr>
              <w:t>Wat is het (gezamenlijke) doel of belang?</w:t>
            </w:r>
          </w:p>
        </w:tc>
        <w:tc>
          <w:tcPr>
            <w:tcW w:w="6284" w:type="dxa"/>
            <w:vAlign w:val="bottom"/>
          </w:tcPr>
          <w:p w:rsidR="00B55428" w:rsidRPr="00B55428" w:rsidRDefault="00B55428" w:rsidP="00B55428">
            <w:pPr>
              <w:rPr>
                <w:b/>
                <w:color w:val="4472C4" w:themeColor="accent1"/>
              </w:rPr>
            </w:pPr>
            <w:r w:rsidRPr="00B55428">
              <w:rPr>
                <w:b/>
                <w:color w:val="4472C4" w:themeColor="accent1"/>
              </w:rPr>
              <w:t>Wie zijn de betrokkenen en wat zijn hun mogelijkheden?</w:t>
            </w:r>
          </w:p>
        </w:tc>
        <w:tc>
          <w:tcPr>
            <w:tcW w:w="6285" w:type="dxa"/>
            <w:tcBorders>
              <w:bottom w:val="single" w:sz="4" w:space="0" w:color="auto"/>
            </w:tcBorders>
            <w:vAlign w:val="bottom"/>
          </w:tcPr>
          <w:p w:rsidR="00B55428" w:rsidRPr="00B55428" w:rsidRDefault="00B55428" w:rsidP="00B55428">
            <w:pPr>
              <w:rPr>
                <w:b/>
                <w:color w:val="4472C4" w:themeColor="accent1"/>
              </w:rPr>
            </w:pPr>
            <w:r w:rsidRPr="00B55428">
              <w:rPr>
                <w:b/>
                <w:color w:val="4472C4" w:themeColor="accent1"/>
              </w:rPr>
              <w:t>Hoe zien verbeteringen er uit en hoe kunnen jullie die samen bereiken?</w:t>
            </w:r>
          </w:p>
        </w:tc>
      </w:tr>
      <w:tr w:rsidR="00B55428" w:rsidTr="00931510">
        <w:trPr>
          <w:trHeight w:val="2355"/>
        </w:trPr>
        <w:tc>
          <w:tcPr>
            <w:tcW w:w="1413" w:type="dxa"/>
            <w:vMerge/>
            <w:tcBorders>
              <w:left w:val="single" w:sz="4" w:space="0" w:color="FFFFFF" w:themeColor="background1"/>
              <w:bottom w:val="single" w:sz="4" w:space="0" w:color="FFFFFF" w:themeColor="background1"/>
            </w:tcBorders>
          </w:tcPr>
          <w:p w:rsidR="00B55428" w:rsidRDefault="00B55428" w:rsidP="00B55428">
            <w:pPr>
              <w:rPr>
                <w:b/>
              </w:rPr>
            </w:pPr>
          </w:p>
        </w:tc>
        <w:tc>
          <w:tcPr>
            <w:tcW w:w="6284" w:type="dxa"/>
          </w:tcPr>
          <w:p w:rsidR="00B55428" w:rsidRDefault="00C2106A">
            <w:pPr>
              <w:rPr>
                <w:b/>
              </w:rPr>
            </w:pPr>
            <w:r>
              <w:rPr>
                <w:b/>
              </w:rPr>
              <w:t xml:space="preserve">Een verzoeker om handhaving is in de veronderstelling dat iets niet volgens de regels is. Wij als gemeente zijn belast met het toezicht houden op en de naleving van regels. Deze regels kunnen door ons zijn gemaakt of van rijkswege. Het gezamenlijke doel is dan ook naleving van de vastgestelde regels. </w:t>
            </w:r>
            <w:r w:rsidR="007E2F92">
              <w:rPr>
                <w:b/>
              </w:rPr>
              <w:t xml:space="preserve">Daar zal een (vermoedelijke) overtreder anders over denken; die moet zeer waarschijnlijk maatregelen nemen of acties ondernemen die hij van tevoren niet had bedacht. Eventueel financieel belang, als een overtreder bijvoorbeeld iets moet afbreken of leges moet betalen voor een vergunning. </w:t>
            </w:r>
          </w:p>
        </w:tc>
        <w:tc>
          <w:tcPr>
            <w:tcW w:w="6284" w:type="dxa"/>
            <w:tcBorders>
              <w:bottom w:val="single" w:sz="4" w:space="0" w:color="auto"/>
            </w:tcBorders>
          </w:tcPr>
          <w:p w:rsidR="00B55428" w:rsidRDefault="00C2106A">
            <w:pPr>
              <w:rPr>
                <w:b/>
              </w:rPr>
            </w:pPr>
            <w:r>
              <w:rPr>
                <w:b/>
              </w:rPr>
              <w:t>De betrokkenen zijn:</w:t>
            </w:r>
          </w:p>
          <w:p w:rsidR="00C2106A" w:rsidRDefault="00C2106A" w:rsidP="00C2106A">
            <w:pPr>
              <w:pStyle w:val="Lijstalinea"/>
              <w:numPr>
                <w:ilvl w:val="0"/>
                <w:numId w:val="1"/>
              </w:numPr>
              <w:rPr>
                <w:b/>
              </w:rPr>
            </w:pPr>
            <w:r>
              <w:rPr>
                <w:b/>
              </w:rPr>
              <w:t>De verzoeker om handhaving; deze kan vragen om ons te handhaven op een bepaalde situatie</w:t>
            </w:r>
          </w:p>
          <w:p w:rsidR="00C2106A" w:rsidRDefault="00C2106A" w:rsidP="00C2106A">
            <w:pPr>
              <w:pStyle w:val="Lijstalinea"/>
              <w:numPr>
                <w:ilvl w:val="0"/>
                <w:numId w:val="1"/>
              </w:numPr>
              <w:rPr>
                <w:b/>
              </w:rPr>
            </w:pPr>
            <w:r>
              <w:rPr>
                <w:b/>
              </w:rPr>
              <w:t>De gemeente; wij stellen in dit geval de betreffende regels vast</w:t>
            </w:r>
          </w:p>
          <w:p w:rsidR="00C2106A" w:rsidRPr="00C2106A" w:rsidRDefault="00C2106A" w:rsidP="00824A4C">
            <w:pPr>
              <w:pStyle w:val="Lijstalinea"/>
              <w:numPr>
                <w:ilvl w:val="0"/>
                <w:numId w:val="1"/>
              </w:numPr>
              <w:rPr>
                <w:b/>
              </w:rPr>
            </w:pPr>
            <w:r>
              <w:rPr>
                <w:b/>
              </w:rPr>
              <w:t>De (vermoedelijke</w:t>
            </w:r>
            <w:r w:rsidR="00824A4C">
              <w:rPr>
                <w:b/>
              </w:rPr>
              <w:t>)</w:t>
            </w:r>
            <w:r>
              <w:rPr>
                <w:b/>
              </w:rPr>
              <w:t xml:space="preserve"> overtreder; de betrokkene kan de overtreding beëindigen of laten voortbestaan (voor eigen rekening en risico). </w:t>
            </w:r>
          </w:p>
        </w:tc>
        <w:tc>
          <w:tcPr>
            <w:tcW w:w="6285" w:type="dxa"/>
            <w:tcBorders>
              <w:bottom w:val="single" w:sz="4" w:space="0" w:color="auto"/>
            </w:tcBorders>
          </w:tcPr>
          <w:p w:rsidR="00B55428" w:rsidRDefault="00A83C0A" w:rsidP="00A83C0A">
            <w:pPr>
              <w:pStyle w:val="Lijstalinea"/>
              <w:numPr>
                <w:ilvl w:val="0"/>
                <w:numId w:val="1"/>
              </w:numPr>
              <w:rPr>
                <w:b/>
              </w:rPr>
            </w:pPr>
            <w:r>
              <w:rPr>
                <w:b/>
              </w:rPr>
              <w:t xml:space="preserve">Als gemeente moeten we ervoor zorgen dat de informatie duidelijk is, zodat daarmee de regels duidelijk zijn. </w:t>
            </w:r>
          </w:p>
          <w:p w:rsidR="00A83C0A" w:rsidRDefault="00A83C0A" w:rsidP="00A83C0A">
            <w:pPr>
              <w:pStyle w:val="Lijstalinea"/>
              <w:numPr>
                <w:ilvl w:val="0"/>
                <w:numId w:val="1"/>
              </w:numPr>
              <w:rPr>
                <w:b/>
              </w:rPr>
            </w:pPr>
            <w:r>
              <w:rPr>
                <w:b/>
              </w:rPr>
              <w:t xml:space="preserve">Verzoekers om handhaving hebben soms een ander motief dan waarom ze om handhaving verzoeken. Dan gaat het bijvoorbeeld om iets wat niet te handhaven is, maar wat ze eigenlijk belangrijker vinden. Door dan toch om handhaving te verzoeken, kunnen ze de overtreder ‘pakken’. </w:t>
            </w:r>
          </w:p>
          <w:p w:rsidR="00A83C0A" w:rsidRPr="00A83C0A" w:rsidRDefault="00A83C0A" w:rsidP="00A83C0A">
            <w:pPr>
              <w:pStyle w:val="Lijstalinea"/>
              <w:numPr>
                <w:ilvl w:val="0"/>
                <w:numId w:val="1"/>
              </w:numPr>
              <w:rPr>
                <w:b/>
              </w:rPr>
            </w:pPr>
            <w:r>
              <w:rPr>
                <w:b/>
              </w:rPr>
              <w:t xml:space="preserve">De overtreder moet zich in het vervolg beter laten informeren of hij moet zijn verlies nemen en de overtreding beëindigen. </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ED7D31" w:themeColor="accent2"/>
              </w:rPr>
            </w:pPr>
            <w:r w:rsidRPr="00B55428">
              <w:rPr>
                <w:b/>
                <w:color w:val="ED7D31" w:themeColor="accent2"/>
              </w:rPr>
              <w:t>Voorwaarden en mandaat voor gewenste verandering</w:t>
            </w:r>
          </w:p>
        </w:tc>
        <w:tc>
          <w:tcPr>
            <w:tcW w:w="6284" w:type="dxa"/>
            <w:vAlign w:val="bottom"/>
          </w:tcPr>
          <w:p w:rsidR="00B55428" w:rsidRPr="00B55428" w:rsidRDefault="00B55428" w:rsidP="00B55428">
            <w:pPr>
              <w:rPr>
                <w:b/>
                <w:color w:val="ED7D31" w:themeColor="accent2"/>
              </w:rPr>
            </w:pPr>
            <w:r w:rsidRPr="00B55428">
              <w:rPr>
                <w:b/>
                <w:color w:val="ED7D31" w:themeColor="accent2"/>
              </w:rPr>
              <w:t>Wat zijn de voorwaarden en middelen om tot verbeteringen te komen?</w:t>
            </w:r>
          </w:p>
        </w:tc>
        <w:tc>
          <w:tcPr>
            <w:tcW w:w="6284" w:type="dxa"/>
            <w:vAlign w:val="bottom"/>
          </w:tcPr>
          <w:p w:rsidR="00B55428" w:rsidRPr="00B55428" w:rsidRDefault="00B55428" w:rsidP="00B55428">
            <w:pPr>
              <w:rPr>
                <w:b/>
                <w:color w:val="ED7D31" w:themeColor="accent2"/>
              </w:rPr>
            </w:pPr>
            <w:r w:rsidRPr="00B55428">
              <w:rPr>
                <w:b/>
                <w:color w:val="ED7D31" w:themeColor="accent2"/>
              </w:rPr>
              <w:t>Waar ligt mandaat of (gedeelde) verantwoordelijkheid?</w:t>
            </w:r>
          </w:p>
        </w:tc>
        <w:tc>
          <w:tcPr>
            <w:tcW w:w="6285" w:type="dxa"/>
            <w:tcBorders>
              <w:top w:val="single" w:sz="4" w:space="0" w:color="FFFFFF" w:themeColor="background1"/>
            </w:tcBorders>
            <w:vAlign w:val="bottom"/>
          </w:tcPr>
          <w:p w:rsidR="00B55428" w:rsidRPr="00B55428" w:rsidRDefault="00B55428" w:rsidP="00B55428">
            <w:pPr>
              <w:rPr>
                <w:b/>
                <w:color w:val="ED7D31" w:themeColor="accent2"/>
              </w:rPr>
            </w:pPr>
            <w:r w:rsidRPr="00B55428">
              <w:rPr>
                <w:b/>
                <w:color w:val="ED7D31" w:themeColor="accent2"/>
              </w:rPr>
              <w:t>Wat is de reikwijdte van het mandaat of de verantwoordelijkheid?</w:t>
            </w:r>
          </w:p>
        </w:tc>
      </w:tr>
      <w:tr w:rsidR="00B55428" w:rsidTr="00931510">
        <w:trPr>
          <w:trHeight w:val="2553"/>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917503" w:rsidP="00917503">
            <w:pPr>
              <w:pStyle w:val="Lijstalinea"/>
              <w:numPr>
                <w:ilvl w:val="0"/>
                <w:numId w:val="1"/>
              </w:numPr>
              <w:rPr>
                <w:b/>
              </w:rPr>
            </w:pPr>
            <w:r>
              <w:rPr>
                <w:b/>
              </w:rPr>
              <w:t xml:space="preserve">De makkelijkste manier is als de overtreder bereid is de overtreding te beëindigen, omdat hij inziet dat er inderdaad sprake is van een overtreding. </w:t>
            </w:r>
          </w:p>
          <w:p w:rsidR="00917503" w:rsidRPr="00917503" w:rsidRDefault="00917503" w:rsidP="00917503">
            <w:pPr>
              <w:pStyle w:val="Lijstalinea"/>
              <w:numPr>
                <w:ilvl w:val="0"/>
                <w:numId w:val="1"/>
              </w:numPr>
              <w:rPr>
                <w:b/>
              </w:rPr>
            </w:pPr>
            <w:r>
              <w:rPr>
                <w:b/>
              </w:rPr>
              <w:t xml:space="preserve">Anders volgt een handhavingstraject, waarbij de overtreder wordt gemotiveerd de overtreding te beëindigen en beëindigd te houden. </w:t>
            </w:r>
          </w:p>
        </w:tc>
        <w:tc>
          <w:tcPr>
            <w:tcW w:w="6284" w:type="dxa"/>
          </w:tcPr>
          <w:p w:rsidR="00B55428" w:rsidRDefault="00917503">
            <w:pPr>
              <w:rPr>
                <w:b/>
              </w:rPr>
            </w:pPr>
            <w:r>
              <w:rPr>
                <w:b/>
              </w:rPr>
              <w:t xml:space="preserve">Bij alle betrokkenen eigenlijk, maar het meest bij gemeente en overtreder. </w:t>
            </w:r>
          </w:p>
        </w:tc>
        <w:tc>
          <w:tcPr>
            <w:tcW w:w="6285" w:type="dxa"/>
          </w:tcPr>
          <w:p w:rsidR="00B55428" w:rsidRDefault="003C584B" w:rsidP="003C584B">
            <w:pPr>
              <w:pStyle w:val="Lijstalinea"/>
              <w:numPr>
                <w:ilvl w:val="0"/>
                <w:numId w:val="1"/>
              </w:numPr>
              <w:rPr>
                <w:b/>
              </w:rPr>
            </w:pPr>
            <w:r>
              <w:rPr>
                <w:b/>
              </w:rPr>
              <w:t xml:space="preserve">Gemeente: kan het verzoek om handhaving beoordelen en heeft hierin beoordelingsvrijheid. Kan het verzoek toe- of afwijzen. </w:t>
            </w:r>
          </w:p>
          <w:p w:rsidR="003C584B" w:rsidRDefault="003C584B" w:rsidP="003C584B">
            <w:pPr>
              <w:pStyle w:val="Lijstalinea"/>
              <w:numPr>
                <w:ilvl w:val="0"/>
                <w:numId w:val="1"/>
              </w:numPr>
              <w:rPr>
                <w:b/>
              </w:rPr>
            </w:pPr>
            <w:r>
              <w:rPr>
                <w:b/>
              </w:rPr>
              <w:t xml:space="preserve">Verzoeker om handhaving: vraagt om handhaving, kan het verzoek intrekken, kan in bezwaar als hij het niet eens is met de beoordeling van de gemeente. </w:t>
            </w:r>
          </w:p>
          <w:p w:rsidR="003C584B" w:rsidRPr="003C584B" w:rsidRDefault="003C584B" w:rsidP="003C584B">
            <w:pPr>
              <w:pStyle w:val="Lijstalinea"/>
              <w:numPr>
                <w:ilvl w:val="0"/>
                <w:numId w:val="1"/>
              </w:numPr>
              <w:rPr>
                <w:b/>
              </w:rPr>
            </w:pPr>
            <w:r>
              <w:rPr>
                <w:b/>
              </w:rPr>
              <w:t xml:space="preserve">Overtreder: kan de overtreding beëindigen of voortzetten. </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30A0"/>
              </w:rPr>
            </w:pPr>
            <w:r w:rsidRPr="00B55428">
              <w:rPr>
                <w:b/>
                <w:color w:val="7030A0"/>
              </w:rPr>
              <w:t>Duurzame inbedding en leven-lang-leren</w:t>
            </w:r>
          </w:p>
        </w:tc>
        <w:tc>
          <w:tcPr>
            <w:tcW w:w="6284" w:type="dxa"/>
            <w:vAlign w:val="bottom"/>
          </w:tcPr>
          <w:p w:rsidR="00B55428" w:rsidRPr="00B55428" w:rsidRDefault="00B55428" w:rsidP="00B55428">
            <w:pPr>
              <w:rPr>
                <w:b/>
                <w:color w:val="7030A0"/>
              </w:rPr>
            </w:pPr>
            <w:r w:rsidRPr="00B55428">
              <w:rPr>
                <w:b/>
                <w:color w:val="7030A0"/>
              </w:rPr>
              <w:t>Op welke manier kunnen relevante buitenstaanders bijdragen?</w:t>
            </w:r>
          </w:p>
        </w:tc>
        <w:tc>
          <w:tcPr>
            <w:tcW w:w="6284" w:type="dxa"/>
            <w:vAlign w:val="bottom"/>
          </w:tcPr>
          <w:p w:rsidR="00B55428" w:rsidRPr="00B55428" w:rsidRDefault="00B55428" w:rsidP="00B55428">
            <w:pPr>
              <w:rPr>
                <w:b/>
                <w:color w:val="7030A0"/>
              </w:rPr>
            </w:pPr>
            <w:r w:rsidRPr="00B55428">
              <w:rPr>
                <w:b/>
                <w:color w:val="7030A0"/>
              </w:rPr>
              <w:t>Wie vertegenwoordigen de buitenstaanders?</w:t>
            </w:r>
          </w:p>
        </w:tc>
        <w:tc>
          <w:tcPr>
            <w:tcW w:w="6285" w:type="dxa"/>
            <w:vAlign w:val="bottom"/>
          </w:tcPr>
          <w:p w:rsidR="00B55428" w:rsidRPr="00B55428" w:rsidRDefault="00B55428" w:rsidP="00B55428">
            <w:pPr>
              <w:rPr>
                <w:b/>
                <w:color w:val="7030A0"/>
              </w:rPr>
            </w:pPr>
            <w:r w:rsidRPr="00B55428">
              <w:rPr>
                <w:b/>
                <w:color w:val="7030A0"/>
              </w:rPr>
              <w:t>Hoe kunnen wereldbeelden worden samengebracht en zekerheid worden geboden?</w:t>
            </w:r>
          </w:p>
        </w:tc>
      </w:tr>
      <w:tr w:rsidR="00B55428" w:rsidTr="00931510">
        <w:trPr>
          <w:trHeight w:val="2687"/>
        </w:trPr>
        <w:tc>
          <w:tcPr>
            <w:tcW w:w="1413" w:type="dxa"/>
            <w:vMerge/>
            <w:tcBorders>
              <w:left w:val="single" w:sz="4" w:space="0" w:color="FFFFFF" w:themeColor="background1"/>
              <w:bottom w:val="single" w:sz="4" w:space="0" w:color="FFFFFF" w:themeColor="background1"/>
            </w:tcBorders>
            <w:textDirection w:val="btLr"/>
          </w:tcPr>
          <w:p w:rsidR="00B55428" w:rsidRDefault="00B55428" w:rsidP="00B55428">
            <w:pPr>
              <w:ind w:left="113" w:right="113"/>
              <w:rPr>
                <w:b/>
              </w:rPr>
            </w:pPr>
          </w:p>
        </w:tc>
        <w:tc>
          <w:tcPr>
            <w:tcW w:w="6284" w:type="dxa"/>
          </w:tcPr>
          <w:p w:rsidR="00B55428" w:rsidRDefault="000D3EAC">
            <w:pPr>
              <w:rPr>
                <w:b/>
              </w:rPr>
            </w:pPr>
            <w:r>
              <w:rPr>
                <w:b/>
              </w:rPr>
              <w:t xml:space="preserve">Eigenlijk is de verzoeker om handhaving een buitenstaander. Hij vindt dat er iets niet klopt en wil graag dat hier wat aan wordt gedaan. </w:t>
            </w:r>
          </w:p>
        </w:tc>
        <w:tc>
          <w:tcPr>
            <w:tcW w:w="6284" w:type="dxa"/>
          </w:tcPr>
          <w:p w:rsidR="00B55428" w:rsidRDefault="00B22AFE">
            <w:pPr>
              <w:rPr>
                <w:b/>
              </w:rPr>
            </w:pPr>
            <w:r>
              <w:rPr>
                <w:b/>
              </w:rPr>
              <w:t xml:space="preserve">Deze vraag is op deze casus niet echt van toepassing, maar stel dat de verzoeker om handhaving juridische bijstand heeft, dan kan dat in de vorm van een juridisch adviseur of een advocaat. </w:t>
            </w:r>
          </w:p>
        </w:tc>
        <w:tc>
          <w:tcPr>
            <w:tcW w:w="6285" w:type="dxa"/>
          </w:tcPr>
          <w:p w:rsidR="00B55428" w:rsidRDefault="00E112E0">
            <w:pPr>
              <w:rPr>
                <w:b/>
              </w:rPr>
            </w:pPr>
            <w:r>
              <w:rPr>
                <w:b/>
              </w:rPr>
              <w:t xml:space="preserve">Dat gaat heel lastig worden. Iemand die om handhaving verzoekt, wil graag ‘gerechtigheid’ en is vaak op principiële gronden van mening dat iedereen zich aan de regels moet houden. </w:t>
            </w:r>
          </w:p>
          <w:p w:rsidR="00E112E0" w:rsidRDefault="00E112E0">
            <w:pPr>
              <w:rPr>
                <w:b/>
              </w:rPr>
            </w:pPr>
            <w:r>
              <w:rPr>
                <w:b/>
              </w:rPr>
              <w:t xml:space="preserve">Een overtreder vindt het niet fijn dat hij op de vingers wordt getikt en zal liever vasthouden aan zijn eigen gelijk. </w:t>
            </w:r>
          </w:p>
          <w:p w:rsidR="00E112E0" w:rsidRDefault="00E112E0">
            <w:pPr>
              <w:rPr>
                <w:b/>
              </w:rPr>
            </w:pPr>
            <w:r>
              <w:rPr>
                <w:b/>
              </w:rPr>
              <w:t xml:space="preserve">De gemeente zit er in als onpartijdige partij, maar zal door beide partijen als ‘partijdig’ worden beschouwd. De gemeente beoordeelt het verzoek en zal het toe- (nadeel voor overtreder) of afwijzen (nadeel voor verzoeker om handhaving. </w:t>
            </w:r>
          </w:p>
          <w:p w:rsidR="00E112E0" w:rsidRDefault="00E112E0">
            <w:pPr>
              <w:rPr>
                <w:b/>
              </w:rPr>
            </w:pPr>
            <w:r>
              <w:rPr>
                <w:b/>
              </w:rPr>
              <w:t xml:space="preserve">Een onafhankelijke bezwaarcommissie of rechter zal uiteindelijk zekerheid kunnen bieden. Dan gaan we wel uit van het wereldbeeld dat iedereen de rechtspraak nog vertrouwt. </w:t>
            </w:r>
          </w:p>
        </w:tc>
      </w:tr>
      <w:tr w:rsidR="00B55428" w:rsidTr="00931510">
        <w:tc>
          <w:tcPr>
            <w:tcW w:w="1413" w:type="dxa"/>
            <w:vMerge w:val="restart"/>
            <w:tcBorders>
              <w:top w:val="single" w:sz="4" w:space="0" w:color="FFFFFF" w:themeColor="background1"/>
              <w:left w:val="single" w:sz="4" w:space="0" w:color="FFFFFF" w:themeColor="background1"/>
            </w:tcBorders>
            <w:textDirection w:val="btLr"/>
          </w:tcPr>
          <w:p w:rsidR="00B55428" w:rsidRPr="00B55428" w:rsidRDefault="00B55428" w:rsidP="00B55428">
            <w:pPr>
              <w:ind w:left="113" w:right="113"/>
              <w:rPr>
                <w:b/>
                <w:color w:val="70AD47" w:themeColor="accent6"/>
              </w:rPr>
            </w:pPr>
            <w:r w:rsidRPr="00B55428">
              <w:rPr>
                <w:b/>
                <w:color w:val="70AD47" w:themeColor="accent6"/>
              </w:rPr>
              <w:t>Aanvullende expertise</w:t>
            </w:r>
          </w:p>
        </w:tc>
        <w:tc>
          <w:tcPr>
            <w:tcW w:w="6284" w:type="dxa"/>
            <w:vAlign w:val="bottom"/>
          </w:tcPr>
          <w:p w:rsidR="00B55428" w:rsidRPr="00B55428" w:rsidRDefault="00B55428" w:rsidP="00B55428">
            <w:pPr>
              <w:rPr>
                <w:b/>
                <w:color w:val="70AD47" w:themeColor="accent6"/>
              </w:rPr>
            </w:pPr>
            <w:r w:rsidRPr="00B55428">
              <w:rPr>
                <w:b/>
                <w:color w:val="70AD47" w:themeColor="accent6"/>
              </w:rPr>
              <w:t>Welke expertise is er nodig?</w:t>
            </w:r>
          </w:p>
        </w:tc>
        <w:tc>
          <w:tcPr>
            <w:tcW w:w="6284" w:type="dxa"/>
            <w:vAlign w:val="bottom"/>
          </w:tcPr>
          <w:p w:rsidR="00B55428" w:rsidRPr="00B55428" w:rsidRDefault="00B55428" w:rsidP="00B55428">
            <w:pPr>
              <w:rPr>
                <w:b/>
                <w:color w:val="70AD47" w:themeColor="accent6"/>
              </w:rPr>
            </w:pPr>
            <w:r w:rsidRPr="00B55428">
              <w:rPr>
                <w:b/>
                <w:color w:val="70AD47" w:themeColor="accent6"/>
              </w:rPr>
              <w:t>Wie zijn relevante experts?</w:t>
            </w:r>
          </w:p>
        </w:tc>
        <w:tc>
          <w:tcPr>
            <w:tcW w:w="6285" w:type="dxa"/>
            <w:vAlign w:val="bottom"/>
          </w:tcPr>
          <w:p w:rsidR="00B55428" w:rsidRPr="00B55428" w:rsidRDefault="00B55428" w:rsidP="00B55428">
            <w:pPr>
              <w:rPr>
                <w:b/>
                <w:color w:val="70AD47" w:themeColor="accent6"/>
              </w:rPr>
            </w:pPr>
            <w:r w:rsidRPr="00B55428">
              <w:rPr>
                <w:b/>
                <w:color w:val="70AD47" w:themeColor="accent6"/>
              </w:rPr>
              <w:t xml:space="preserve">Op welke manier kan de expertise worden benut en vergroot bij de </w:t>
            </w:r>
            <w:r w:rsidR="00AC1A0F" w:rsidRPr="00B55428">
              <w:rPr>
                <w:b/>
                <w:color w:val="70AD47" w:themeColor="accent6"/>
              </w:rPr>
              <w:t>betrokkenen</w:t>
            </w:r>
            <w:r w:rsidRPr="00B55428">
              <w:rPr>
                <w:b/>
                <w:color w:val="70AD47" w:themeColor="accent6"/>
              </w:rPr>
              <w:t>?</w:t>
            </w:r>
          </w:p>
        </w:tc>
      </w:tr>
      <w:tr w:rsidR="00B55428" w:rsidTr="00931510">
        <w:trPr>
          <w:trHeight w:val="2502"/>
        </w:trPr>
        <w:tc>
          <w:tcPr>
            <w:tcW w:w="1413" w:type="dxa"/>
            <w:vMerge/>
            <w:tcBorders>
              <w:left w:val="single" w:sz="4" w:space="0" w:color="FFFFFF" w:themeColor="background1"/>
              <w:bottom w:val="single" w:sz="4" w:space="0" w:color="FFFFFF" w:themeColor="background1"/>
            </w:tcBorders>
          </w:tcPr>
          <w:p w:rsidR="00B55428" w:rsidRDefault="00B55428"/>
        </w:tc>
        <w:tc>
          <w:tcPr>
            <w:tcW w:w="6284" w:type="dxa"/>
          </w:tcPr>
          <w:p w:rsidR="00B55428" w:rsidRDefault="001C2E1A">
            <w:pPr>
              <w:rPr>
                <w:b/>
              </w:rPr>
            </w:pPr>
            <w:r>
              <w:rPr>
                <w:b/>
              </w:rPr>
              <w:t xml:space="preserve">Kennis van bestemmingsplannen en regels, kennis van juridische procedures. </w:t>
            </w:r>
          </w:p>
        </w:tc>
        <w:tc>
          <w:tcPr>
            <w:tcW w:w="6284" w:type="dxa"/>
          </w:tcPr>
          <w:p w:rsidR="00B55428" w:rsidRDefault="003A3E97">
            <w:pPr>
              <w:rPr>
                <w:b/>
              </w:rPr>
            </w:pPr>
            <w:r>
              <w:rPr>
                <w:b/>
              </w:rPr>
              <w:t xml:space="preserve">Ik denk dat alle betrokkenen gezien kunnen worden als relevante experts. </w:t>
            </w:r>
          </w:p>
          <w:p w:rsidR="003A3E97" w:rsidRDefault="003A3E97">
            <w:pPr>
              <w:rPr>
                <w:b/>
              </w:rPr>
            </w:pPr>
            <w:r>
              <w:rPr>
                <w:b/>
              </w:rPr>
              <w:t xml:space="preserve">Verder zijn in deze casus de </w:t>
            </w:r>
            <w:proofErr w:type="spellStart"/>
            <w:r>
              <w:rPr>
                <w:b/>
              </w:rPr>
              <w:t>vergunningmedewerkers</w:t>
            </w:r>
            <w:proofErr w:type="spellEnd"/>
            <w:r>
              <w:rPr>
                <w:b/>
              </w:rPr>
              <w:t xml:space="preserve"> of RO-medewerkers de relevante experts. In een later stadium, bij de beoordeling in een rechtsbeschermingsprocedure, zijn bijvoorbeeld de leden van een bezwaarcommissie of rechters de experts. Je kan ook nog extern advies inwinnen, bijvoorbeeld bij een advocatenkantoor. </w:t>
            </w:r>
          </w:p>
        </w:tc>
        <w:tc>
          <w:tcPr>
            <w:tcW w:w="6285" w:type="dxa"/>
          </w:tcPr>
          <w:p w:rsidR="00B55428" w:rsidRDefault="00BE69C4">
            <w:pPr>
              <w:rPr>
                <w:b/>
              </w:rPr>
            </w:pPr>
            <w:r>
              <w:rPr>
                <w:b/>
              </w:rPr>
              <w:t xml:space="preserve">Door de kennis van juridische procedures, kan misschien juist voorkomen worden dat een handhavingstraject opgestart moet worden. In dat geval komt men tegemoet aan de wens van de verzoeker om handhaving, als de overtreding is beëindigd. </w:t>
            </w:r>
            <w:bookmarkStart w:id="0" w:name="_GoBack"/>
            <w:bookmarkEnd w:id="0"/>
          </w:p>
        </w:tc>
      </w:tr>
    </w:tbl>
    <w:p w:rsidR="00B55428" w:rsidRDefault="00B55428" w:rsidP="00B55428">
      <w:pPr>
        <w:rPr>
          <w:b/>
        </w:rPr>
      </w:pPr>
    </w:p>
    <w:sectPr w:rsidR="00B55428" w:rsidSect="00B5542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C00CA1"/>
    <w:multiLevelType w:val="hybridMultilevel"/>
    <w:tmpl w:val="12580FB4"/>
    <w:lvl w:ilvl="0" w:tplc="C860BFF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28"/>
    <w:rsid w:val="000D3EAC"/>
    <w:rsid w:val="001C2E1A"/>
    <w:rsid w:val="00284E56"/>
    <w:rsid w:val="003A3E97"/>
    <w:rsid w:val="003C584B"/>
    <w:rsid w:val="00753BF4"/>
    <w:rsid w:val="007E2F92"/>
    <w:rsid w:val="00824A4C"/>
    <w:rsid w:val="00917503"/>
    <w:rsid w:val="00931510"/>
    <w:rsid w:val="00A83C0A"/>
    <w:rsid w:val="00AC1A0F"/>
    <w:rsid w:val="00B22AFE"/>
    <w:rsid w:val="00B55428"/>
    <w:rsid w:val="00BE69C4"/>
    <w:rsid w:val="00C2106A"/>
    <w:rsid w:val="00E112E0"/>
    <w:rsid w:val="00FD446B"/>
    <w:rsid w:val="00FD62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5D2E3-879E-4011-88C1-59373EF7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5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21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33409-763E-4DAB-892C-53F1B4F3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96ED40EE</Template>
  <TotalTime>54</TotalTime>
  <Pages>2</Pages>
  <Words>764</Words>
  <Characters>4206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Mostert-Al</dc:creator>
  <cp:keywords/>
  <dc:description/>
  <cp:lastModifiedBy>Alexandra Kaan</cp:lastModifiedBy>
  <cp:revision>16</cp:revision>
  <dcterms:created xsi:type="dcterms:W3CDTF">2020-11-16T13:11:00Z</dcterms:created>
  <dcterms:modified xsi:type="dcterms:W3CDTF">2020-11-16T14:04:00Z</dcterms:modified>
</cp:coreProperties>
</file>